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7037AB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January 1958, Circular on Sports Work in 1958&gt; – 1 Coded Reference [8.39% Coverage]</w:t>
      </w:r>
    </w:p>
    <w:p w14:paraId="65D64951">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(8.39%)</w:t>
      </w:r>
      <w:r>
        <w:rPr>
          <w:rFonts w:hint="default" w:ascii="Times New Roman" w:hAnsi="Times New Roman" w:cs="Times New Roman"/>
        </w:rPr>
        <w:br w:type="textWrapping"/>
      </w:r>
      <w:r>
        <w:rPr>
          <w:rFonts w:hint="default" w:ascii="Times New Roman" w:hAnsi="Times New Roman" w:cs="Times New Roman"/>
        </w:rPr>
        <w:t>It is recommended that well-equipped factories and mines within various industrial sectors establish one or more amateur sports schools for youth and young workers.</w:t>
      </w:r>
      <w:bookmarkStart w:id="0" w:name="_GoBack"/>
      <w:bookmarkEnd w:id="0"/>
    </w:p>
    <w:p w14:paraId="15EE8EA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5EEB9A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1993, Opinions of the State Sports Commission on Deepening Sports Reform&gt; – 1 Coded Reference [0.71% Coverage]</w:t>
      </w:r>
    </w:p>
    <w:p w14:paraId="7F99B5F6">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(0.71%)</w:t>
      </w:r>
      <w:r>
        <w:rPr>
          <w:rFonts w:hint="default" w:ascii="Times New Roman" w:hAnsi="Times New Roman" w:cs="Times New Roman"/>
        </w:rPr>
        <w:br w:type="textWrapping"/>
      </w:r>
      <w:r>
        <w:rPr>
          <w:rFonts w:hint="default" w:ascii="Times New Roman" w:hAnsi="Times New Roman" w:cs="Times New Roman"/>
        </w:rPr>
        <w:t>Broaden training channels. Encourage and support various sectors of society—including enterprises, universities, and social organizations—to establish elite sports teams or high-level sports clubs. Expand the scope of primary and intermediate amateur training, with some programs being organized in qualified ordinary primary and secondary schools.</w:t>
      </w:r>
    </w:p>
    <w:p w14:paraId="00B29D3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Reform the practice whereby the state fully covers training expenses. For primary and intermediate forms of sports training, self-financing or partial cost-sharing models may be adopted according to regional and sport-specific characteristics. For advanced forms of training, increase the proportion of social funding and appropriately introduce individual risk-sharing mechanisms.</w:t>
      </w:r>
    </w:p>
    <w:p w14:paraId="0BECBCB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0546A81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1995, Outline of the Olympic Glory Plan (1994–2000)&gt; – 1 Coded Reference [2.48% Coverage]</w:t>
      </w:r>
    </w:p>
    <w:p w14:paraId="23411107">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(2.48%)</w:t>
      </w:r>
      <w:r>
        <w:rPr>
          <w:rFonts w:hint="default" w:ascii="Times New Roman" w:hAnsi="Times New Roman" w:cs="Times New Roman"/>
        </w:rPr>
        <w:br w:type="textWrapping"/>
      </w:r>
      <w:r>
        <w:rPr>
          <w:rStyle w:val="7"/>
          <w:rFonts w:hint="default" w:ascii="Times New Roman" w:hAnsi="Times New Roman" w:cs="Times New Roman"/>
        </w:rPr>
        <w:t>Goals of Institutional and Mechanism Reform</w:t>
      </w:r>
    </w:p>
    <w:p w14:paraId="39570FC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By the end of the century, the reform of China’s competitive sports system and operational mechanisms aims to: gradually increase state investment in competitive sports while expanding channels for social investment, forming a new structure combining state-run and socially run sports; implement classified management of sports events and establish an efficiency-based investment system; strengthen vertical management of sports events and establish a system integrating unified responsibilities, rights, and interests, combining comprehensive and specialized management; establish a fair and rational competition mechanism and a national team system combining centralized and decentralized models; build a sports science system in which sports revitalization relies on scientific progress and sports science serves athletic practice; reform the talent management system to promote rational mobility of sports professionals; and establish a competition system centered on quality and efficiency, supported by a legal and regulatory framework suited to the development of competitive sports.</w:t>
      </w:r>
    </w:p>
    <w:p w14:paraId="55986FD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2B26267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2001–2010 Outline for Sports Reform and Development&gt; – 1 Coded Reference [1.99% Coverage]</w:t>
      </w:r>
    </w:p>
    <w:p w14:paraId="01F04E83">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(1.99%)</w:t>
      </w:r>
      <w:r>
        <w:rPr>
          <w:rFonts w:hint="default" w:ascii="Times New Roman" w:hAnsi="Times New Roman" w:cs="Times New Roman"/>
        </w:rPr>
        <w:br w:type="textWrapping"/>
      </w:r>
      <w:r>
        <w:rPr>
          <w:rFonts w:hint="default" w:ascii="Times New Roman" w:hAnsi="Times New Roman" w:cs="Times New Roman"/>
        </w:rPr>
        <w:t>Strengthen the cultivation of reserve talent for competitive sports. Accelerate reform of the training system and establish a reserve talent development system compatible with the socialist market economy. Amateur training is the foundation of competitive sports development in China and must be given high priority. Improve training conditions and adhere to the integration of sports and education. Encourage and support social organizations and individuals to sponsor and establish amateur training programs. Continue to leverage the role of sports schools in cultivating high-level reserve talent and promote their integration with higher education institutions to enhance educational quality and efficiency. Professional sports clubs must actively engage in amateur training and establish reserve echelons to ensure talent continuity.</w:t>
      </w:r>
    </w:p>
    <w:p w14:paraId="63484C3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0DA7013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2002, Outline of the Olympic Glory Plan (2001–2010)&gt; – 1 Coded Reference [4.78% Coverage]</w:t>
      </w:r>
    </w:p>
    <w:p w14:paraId="5CF4FD92">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(4.78%)</w:t>
      </w:r>
      <w:r>
        <w:rPr>
          <w:rFonts w:hint="default" w:ascii="Times New Roman" w:hAnsi="Times New Roman" w:cs="Times New Roman"/>
        </w:rPr>
        <w:br w:type="textWrapping"/>
      </w:r>
      <w:r>
        <w:rPr>
          <w:rFonts w:hint="default" w:ascii="Times New Roman" w:hAnsi="Times New Roman" w:cs="Times New Roman"/>
        </w:rPr>
        <w:t>Adhere to and improve the whole-nation system while deepening reform of the competitive sports system. Fully leverage the advantages of the socialist system, mobilize all types of sports resources, and uphold the principle of unified national coordination. Strengthen leadership over preparations for the 2004 and 2008 Olympic Games through comprehensive planning and unified deployment, striving for outstanding results and successfully hosting the 2008 Beijing Olympic Games. Continue reform of sports event management structures, clarify the relationship between event management centers, local sports authorities, and single-sport associations, and strengthen institutional development.</w:t>
      </w:r>
    </w:p>
    <w:p w14:paraId="05CC325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195E26F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October 2011, Measures for the Administration of Juvenile Sports Schools&gt; – 1 Coded Reference [1.27% Coverage]</w:t>
      </w:r>
    </w:p>
    <w:p w14:paraId="25B9272B">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(1.27%)</w:t>
      </w:r>
      <w:r>
        <w:rPr>
          <w:rFonts w:hint="default" w:ascii="Times New Roman" w:hAnsi="Times New Roman" w:cs="Times New Roman"/>
        </w:rPr>
        <w:br w:type="textWrapping"/>
      </w:r>
      <w:r>
        <w:rPr>
          <w:rFonts w:hint="default" w:ascii="Times New Roman" w:hAnsi="Times New Roman" w:cs="Times New Roman"/>
        </w:rPr>
        <w:t>The state encourages and supports enterprises, public institutions, social organizations, and individual citizens to establish privately run juvenile sports schools.</w:t>
      </w:r>
    </w:p>
    <w:p w14:paraId="7BAED6B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52A4E1B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2011, Twelfth Five-Year Plan for Sports Development&gt; – 2 Coded References [2.82% Coverage]</w:t>
      </w:r>
    </w:p>
    <w:p w14:paraId="37D4C387">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(0.99%)</w:t>
      </w:r>
      <w:r>
        <w:rPr>
          <w:rFonts w:hint="default" w:ascii="Times New Roman" w:hAnsi="Times New Roman" w:cs="Times New Roman"/>
        </w:rPr>
        <w:br w:type="textWrapping"/>
      </w:r>
      <w:r>
        <w:rPr>
          <w:rFonts w:hint="default" w:ascii="Times New Roman" w:hAnsi="Times New Roman" w:cs="Times New Roman"/>
        </w:rPr>
        <w:t>Adhere to and improve the whole-nation system for competitive sports. Coordinate relations among central and local governments, between government and society, and between sports and non-sports sectors. Optimize resource allocation, project layout, and benefit distribution, innovate institutional mechanisms under market economy conditions, and promote comprehensive development of the sports sector.</w:t>
      </w:r>
    </w:p>
    <w:p w14:paraId="27849D37">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2 (1.83%)</w:t>
      </w:r>
      <w:r>
        <w:rPr>
          <w:rFonts w:hint="default" w:ascii="Times New Roman" w:hAnsi="Times New Roman" w:cs="Times New Roman"/>
        </w:rPr>
        <w:br w:type="textWrapping"/>
      </w:r>
      <w:r>
        <w:rPr>
          <w:rFonts w:hint="default" w:ascii="Times New Roman" w:hAnsi="Times New Roman" w:cs="Times New Roman"/>
        </w:rPr>
        <w:t>Implement the “Competitive Sports Reserve Talent Development Project” to consolidate the foundation for sustainable development. Formulate medium- and long-term development plans for Olympic sports reserve talent, optimize project layout, and improve evaluation and incentive mechanisms for amateur training. Strengthen the construction of national high-level reserve talent bases. Establish a reserve talent development system that follows both sports and educational principles, with government leadership and integration of sports and education as the core mechanism.</w:t>
      </w:r>
    </w:p>
    <w:p w14:paraId="5320390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9E4688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2013, Measures for the Administration of Traditional Sports Schools&gt; – 1 Coded Reference [0.83% Coverage]</w:t>
      </w:r>
    </w:p>
    <w:p w14:paraId="56D8A7F6">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(0.83%)</w:t>
      </w:r>
      <w:r>
        <w:rPr>
          <w:rFonts w:hint="default" w:ascii="Times New Roman" w:hAnsi="Times New Roman" w:cs="Times New Roman"/>
        </w:rPr>
        <w:br w:type="textWrapping"/>
      </w:r>
      <w:r>
        <w:rPr>
          <w:rFonts w:hint="default" w:ascii="Times New Roman" w:hAnsi="Times New Roman" w:cs="Times New Roman"/>
        </w:rPr>
        <w:t>Encourage and support enterprises, public institutions, social organizations, and individuals to provide funding, donations, or sports services to traditional sports schools in accordance with the law.</w:t>
      </w:r>
    </w:p>
    <w:p w14:paraId="1FCEDAC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1C55BB7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2016, Notice on the Youth Sports Development Plan (13th Five-Year Plan)&gt; – 3 Coded References [7.80% Coverage]</w:t>
      </w:r>
    </w:p>
    <w:p w14:paraId="2AC47434">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(0.93%)</w:t>
      </w:r>
      <w:r>
        <w:rPr>
          <w:rFonts w:hint="default" w:ascii="Times New Roman" w:hAnsi="Times New Roman" w:cs="Times New Roman"/>
        </w:rPr>
        <w:br w:type="textWrapping"/>
      </w:r>
      <w:r>
        <w:rPr>
          <w:rFonts w:hint="default" w:ascii="Times New Roman" w:hAnsi="Times New Roman" w:cs="Times New Roman"/>
        </w:rPr>
        <w:t>Adhere to government leadership with multi-party participation, strengthening governmental responsibilities in legal regulation, policy guidance, and financial investment.</w:t>
      </w:r>
    </w:p>
    <w:p w14:paraId="1B94E354">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2 (4.58%)</w:t>
      </w:r>
      <w:r>
        <w:rPr>
          <w:rFonts w:hint="default" w:ascii="Times New Roman" w:hAnsi="Times New Roman" w:cs="Times New Roman"/>
        </w:rPr>
        <w:br w:type="textWrapping"/>
      </w:r>
      <w:r>
        <w:rPr>
          <w:rFonts w:hint="default" w:ascii="Times New Roman" w:hAnsi="Times New Roman" w:cs="Times New Roman"/>
        </w:rPr>
        <w:t>Mobilize social forces to broaden channels for cultivating competitive sports reserve talent. Improve the youth training system, with traditional sports schools and youth sports clubs as the main platforms. Increase investment in key schools and priority sports. Encourage social participation and promote market-oriented reforms in youth sports training and event organization.</w:t>
      </w:r>
    </w:p>
    <w:p w14:paraId="2F876A51">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3 (2.29%)</w:t>
      </w:r>
      <w:r>
        <w:rPr>
          <w:rFonts w:hint="default" w:ascii="Times New Roman" w:hAnsi="Times New Roman" w:cs="Times New Roman"/>
        </w:rPr>
        <w:br w:type="textWrapping"/>
      </w:r>
      <w:r>
        <w:rPr>
          <w:rFonts w:hint="default" w:ascii="Times New Roman" w:hAnsi="Times New Roman" w:cs="Times New Roman"/>
        </w:rPr>
        <w:t>Increase financial investment and establish stable public funding mechanisms for youth sports. Incorporate youth sports funding into annual budgets. Promote government purchase of public sports services and establish diversified funding channels to attract social investment.</w:t>
      </w:r>
    </w:p>
    <w:p w14:paraId="5443255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3425A2D7">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2017, Guiding Opinions on Strengthening the Cultivation of Competitive Sports Reserve Talent&gt; – 1 Coded Reference [5.18% Coverage]</w:t>
      </w:r>
    </w:p>
    <w:p w14:paraId="7B1576B1">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(5.18%)</w:t>
      </w:r>
      <w:r>
        <w:rPr>
          <w:rFonts w:hint="default" w:ascii="Times New Roman" w:hAnsi="Times New Roman" w:cs="Times New Roman"/>
        </w:rPr>
        <w:br w:type="textWrapping"/>
      </w:r>
      <w:r>
        <w:rPr>
          <w:rFonts w:hint="default" w:ascii="Times New Roman" w:hAnsi="Times New Roman" w:cs="Times New Roman"/>
        </w:rPr>
        <w:t>Social forces are an important component of reserve talent cultivation. Encourage diverse youth sports training institutions and promote social capital participation in youth sports centers and camps. Establish shared platforms to ensure equal rights in registration, competition participation, and professional evaluation. Support the development of youth sports organizations and explore market-oriented mechanisms in youth training and competition.</w:t>
      </w:r>
    </w:p>
    <w:p w14:paraId="55F580C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786F0F6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2019, General Office of the State Council Notice&gt; – 2 Coded References [2.22% Coverage]</w:t>
      </w:r>
    </w:p>
    <w:p w14:paraId="2A917BF1">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(1.51%)</w:t>
      </w:r>
      <w:r>
        <w:rPr>
          <w:rFonts w:hint="default" w:ascii="Times New Roman" w:hAnsi="Times New Roman" w:cs="Times New Roman"/>
        </w:rPr>
        <w:br w:type="textWrapping"/>
      </w:r>
      <w:r>
        <w:rPr>
          <w:rFonts w:hint="default" w:ascii="Times New Roman" w:hAnsi="Times New Roman" w:cs="Times New Roman"/>
        </w:rPr>
        <w:t>Promote the popularization and improvement of football, basketball, and volleyball. Build a training, competition, and reserve talent development system led by the government, coordinated among departments, and supported by social participation.</w:t>
      </w:r>
    </w:p>
    <w:p w14:paraId="27D32EA0">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2 (0.71%)</w:t>
      </w:r>
      <w:r>
        <w:rPr>
          <w:rFonts w:hint="default" w:ascii="Times New Roman" w:hAnsi="Times New Roman" w:cs="Times New Roman"/>
        </w:rPr>
        <w:br w:type="textWrapping"/>
      </w:r>
      <w:r>
        <w:rPr>
          <w:rFonts w:hint="default" w:ascii="Times New Roman" w:hAnsi="Times New Roman" w:cs="Times New Roman"/>
        </w:rPr>
        <w:t>Further transform government functions, mobilize social forces, and build a modernized sports governance system characterized by separation of management and operation, coordinated internal and external mechanisms, and efficient institutional arrangements.</w:t>
      </w:r>
    </w:p>
    <w:p w14:paraId="089AFA3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058EA00F">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2020, Opinions on Deepening the Integration of Sports and Education&gt; – 1 Coded Reference [3.85% Coverage]</w:t>
      </w:r>
    </w:p>
    <w:p w14:paraId="56620C8F">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(3.85%)</w:t>
      </w:r>
      <w:r>
        <w:rPr>
          <w:rFonts w:hint="default" w:ascii="Times New Roman" w:hAnsi="Times New Roman" w:cs="Times New Roman"/>
        </w:rPr>
        <w:br w:type="textWrapping"/>
      </w:r>
      <w:r>
        <w:rPr>
          <w:rFonts w:hint="default" w:ascii="Times New Roman" w:hAnsi="Times New Roman" w:cs="Times New Roman"/>
        </w:rPr>
        <w:t>Encourage the development of youth sports clubs and establish well-coordinated competition and training systems. Implement supportive tax and facility policies. Jointly formulate standards for sports clubs entering schools, with schools independently selecting partners. Strengthen regulatory oversight and improve the business environment to stimulate market vitality.</w:t>
      </w:r>
    </w:p>
    <w:p w14:paraId="76E187C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2762B57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2021, 14th Five-Year Plan for Sports Development&gt; – 2 Coded References [1.55% Coverage]</w:t>
      </w:r>
    </w:p>
    <w:p w14:paraId="525CE5AA">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(0.38%)</w:t>
      </w:r>
      <w:r>
        <w:rPr>
          <w:rFonts w:hint="default" w:ascii="Times New Roman" w:hAnsi="Times New Roman" w:cs="Times New Roman"/>
        </w:rPr>
        <w:br w:type="textWrapping"/>
      </w:r>
      <w:r>
        <w:rPr>
          <w:rFonts w:hint="default" w:ascii="Times New Roman" w:hAnsi="Times New Roman" w:cs="Times New Roman"/>
        </w:rPr>
        <w:t>Strengthen the development and governance of national volleyball teams. Improve selection and exit mechanisms, refine competition systems, expand professional leagues, and broaden reserve talent cultivation channels through schools, sports schools, and social clubs. Promote youth volleyball development and coach training.</w:t>
      </w:r>
    </w:p>
    <w:p w14:paraId="6A9B480C">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2 (1.18%)</w:t>
      </w:r>
      <w:r>
        <w:rPr>
          <w:rFonts w:hint="default" w:ascii="Times New Roman" w:hAnsi="Times New Roman" w:cs="Times New Roman"/>
        </w:rPr>
        <w:br w:type="textWrapping"/>
      </w:r>
      <w:r>
        <w:rPr>
          <w:rFonts w:hint="default" w:ascii="Times New Roman" w:hAnsi="Times New Roman" w:cs="Times New Roman"/>
        </w:rPr>
        <w:t>Strengthen the cultivation of outstanding youth sports talent. Promote integration of school-based skill popularization, sports school professional training, and individualized social training. Accelerate the development of traditional sports schools under the “one school, one specialty” model. Establish vertically integrated talent development pathways from primary school to university to address discontinuities in athlete advancement.</w:t>
      </w:r>
    </w:p>
    <w:p w14:paraId="27BE8730">
      <w:pPr>
        <w:rPr>
          <w:rFonts w:hint="default" w:ascii="Times New Roman" w:hAnsi="Times New Roman" w:cs="Times New Roman"/>
        </w:rPr>
      </w:pPr>
    </w:p>
    <w:sectPr>
      <w:pgSz w:w="11909" w:h="16834"/>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86"/>
    <w:family w:val="swiss"/>
    <w:pitch w:val="default"/>
    <w:sig w:usb0="E4002EFF" w:usb1="C000E47F"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E38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4294967295" w:semiHidden="0" w:name="heading 1"/>
    <w:lsdException w:unhideWhenUsed="0" w:uiPriority="4294967295" w:semiHidden="0" w:name="heading 2"/>
    <w:lsdException w:unhideWhenUsed="0" w:uiPriority="4294967295" w:semiHidden="0" w:name="heading 3"/>
    <w:lsdException w:unhideWhenUsed="0" w:uiPriority="4294967295" w:semiHidden="0" w:name="heading 4"/>
    <w:lsdException w:unhideWhenUsed="0" w:uiPriority="4294967295" w:semiHidden="0" w:name="heading 5"/>
    <w:lsdException w:unhideWhenUsed="0" w:uiPriority="4294967295" w:semiHidden="0" w:name="heading 6"/>
    <w:lsdException w:unhideWhenUsed="0" w:uiPriority="4294967295" w:semiHidden="0" w:name="heading 7"/>
    <w:lsdException w:unhideWhenUsed="0" w:uiPriority="4294967295" w:semiHidden="0" w:name="heading 8"/>
    <w:lsdException w:unhideWhenUsed="0" w:uiPriority="4294967295" w:semiHidden="0" w:name="heading 9"/>
    <w:lsdException w:unhideWhenUsed="0" w:uiPriority="4294967295" w:semiHidden="0" w:name="index 1"/>
    <w:lsdException w:unhideWhenUsed="0" w:uiPriority="4294967295" w:semiHidden="0" w:name="index 2"/>
    <w:lsdException w:unhideWhenUsed="0" w:uiPriority="4294967295" w:semiHidden="0" w:name="index 3"/>
    <w:lsdException w:unhideWhenUsed="0" w:uiPriority="4294967295" w:semiHidden="0" w:name="index 4"/>
    <w:lsdException w:unhideWhenUsed="0" w:uiPriority="4294967295" w:semiHidden="0" w:name="index 5"/>
    <w:lsdException w:unhideWhenUsed="0" w:uiPriority="4294967295" w:semiHidden="0" w:name="index 6"/>
    <w:lsdException w:unhideWhenUsed="0" w:uiPriority="4294967295" w:semiHidden="0" w:name="index 7"/>
    <w:lsdException w:unhideWhenUsed="0" w:uiPriority="4294967295" w:semiHidden="0" w:name="index 8"/>
    <w:lsdException w:unhideWhenUsed="0" w:uiPriority="4294967295" w:semiHidden="0" w:name="index 9"/>
    <w:lsdException w:unhideWhenUsed="0" w:uiPriority="4294967295" w:semiHidden="0" w:name="toc 1"/>
    <w:lsdException w:unhideWhenUsed="0" w:uiPriority="4294967295" w:semiHidden="0" w:name="toc 2"/>
    <w:lsdException w:unhideWhenUsed="0" w:uiPriority="4294967295" w:semiHidden="0" w:name="toc 3"/>
    <w:lsdException w:unhideWhenUsed="0" w:uiPriority="4294967295" w:semiHidden="0" w:name="toc 4"/>
    <w:lsdException w:unhideWhenUsed="0" w:uiPriority="4294967295" w:semiHidden="0" w:name="toc 5"/>
    <w:lsdException w:unhideWhenUsed="0" w:uiPriority="4294967295" w:semiHidden="0" w:name="toc 6"/>
    <w:lsdException w:unhideWhenUsed="0" w:uiPriority="4294967295" w:semiHidden="0" w:name="toc 7"/>
    <w:lsdException w:unhideWhenUsed="0" w:uiPriority="4294967295" w:semiHidden="0" w:name="toc 8"/>
    <w:lsdException w:unhideWhenUsed="0" w:uiPriority="4294967295" w:semiHidden="0" w:name="toc 9"/>
    <w:lsdException w:unhideWhenUsed="0" w:uiPriority="4294967295" w:semiHidden="0" w:name="Normal Indent"/>
    <w:lsdException w:unhideWhenUsed="0" w:uiPriority="4294967295" w:semiHidden="0" w:name="footnote text"/>
    <w:lsdException w:unhideWhenUsed="0" w:uiPriority="4294967295" w:semiHidden="0" w:name="annotation text"/>
    <w:lsdException w:unhideWhenUsed="0" w:uiPriority="4294967295" w:semiHidden="0" w:name="header"/>
    <w:lsdException w:unhideWhenUsed="0" w:uiPriority="4294967295" w:semiHidden="0" w:name="footer"/>
    <w:lsdException w:unhideWhenUsed="0" w:uiPriority="4294967295" w:semiHidden="0" w:name="index heading"/>
    <w:lsdException w:unhideWhenUsed="0" w:uiPriority="4294967295" w:semiHidden="0" w:name="caption"/>
    <w:lsdException w:unhideWhenUsed="0" w:uiPriority="4294967295" w:semiHidden="0" w:name="table of figures"/>
    <w:lsdException w:unhideWhenUsed="0" w:uiPriority="4294967295" w:semiHidden="0" w:name="envelope address"/>
    <w:lsdException w:unhideWhenUsed="0" w:uiPriority="4294967295" w:semiHidden="0" w:name="envelope return"/>
    <w:lsdException w:unhideWhenUsed="0" w:uiPriority="4294967295" w:semiHidden="0" w:name="footnote reference"/>
    <w:lsdException w:unhideWhenUsed="0" w:uiPriority="4294967295" w:semiHidden="0" w:name="annotation reference"/>
    <w:lsdException w:unhideWhenUsed="0" w:uiPriority="4294967295" w:semiHidden="0" w:name="line number"/>
    <w:lsdException w:unhideWhenUsed="0" w:uiPriority="4294967295" w:semiHidden="0" w:name="page number"/>
    <w:lsdException w:unhideWhenUsed="0" w:uiPriority="4294967295" w:semiHidden="0" w:name="endnote reference"/>
    <w:lsdException w:unhideWhenUsed="0" w:uiPriority="4294967295" w:semiHidden="0" w:name="endnote text"/>
    <w:lsdException w:unhideWhenUsed="0" w:uiPriority="4294967295" w:semiHidden="0" w:name="table of authorities"/>
    <w:lsdException w:unhideWhenUsed="0" w:uiPriority="4294967295" w:semiHidden="0" w:name="macro"/>
    <w:lsdException w:unhideWhenUsed="0" w:uiPriority="4294967295" w:semiHidden="0" w:name="toa heading"/>
    <w:lsdException w:unhideWhenUsed="0" w:uiPriority="4294967295" w:semiHidden="0" w:name="List"/>
    <w:lsdException w:unhideWhenUsed="0" w:uiPriority="4294967295" w:semiHidden="0" w:name="List Bullet"/>
    <w:lsdException w:unhideWhenUsed="0" w:uiPriority="4294967295" w:semiHidden="0" w:name="List Number"/>
    <w:lsdException w:unhideWhenUsed="0" w:uiPriority="4294967295" w:semiHidden="0" w:name="List 2"/>
    <w:lsdException w:unhideWhenUsed="0" w:uiPriority="4294967295" w:semiHidden="0" w:name="List 3"/>
    <w:lsdException w:unhideWhenUsed="0" w:uiPriority="4294967295" w:semiHidden="0" w:name="List 4"/>
    <w:lsdException w:unhideWhenUsed="0" w:uiPriority="4294967295" w:semiHidden="0" w:name="List 5"/>
    <w:lsdException w:unhideWhenUsed="0" w:uiPriority="4294967295" w:semiHidden="0" w:name="List Bullet 2"/>
    <w:lsdException w:unhideWhenUsed="0" w:uiPriority="4294967295" w:semiHidden="0" w:name="List Bullet 3"/>
    <w:lsdException w:unhideWhenUsed="0" w:uiPriority="4294967295" w:semiHidden="0" w:name="List Bullet 4"/>
    <w:lsdException w:unhideWhenUsed="0" w:uiPriority="4294967295" w:semiHidden="0" w:name="List Bullet 5"/>
    <w:lsdException w:unhideWhenUsed="0" w:uiPriority="4294967295" w:semiHidden="0" w:name="List Number 2"/>
    <w:lsdException w:unhideWhenUsed="0" w:uiPriority="4294967295" w:semiHidden="0" w:name="List Number 3"/>
    <w:lsdException w:unhideWhenUsed="0" w:uiPriority="4294967295" w:semiHidden="0" w:name="List Number 4"/>
    <w:lsdException w:unhideWhenUsed="0" w:uiPriority="4294967295" w:semiHidden="0" w:name="List Number 5"/>
    <w:lsdException w:unhideWhenUsed="0" w:uiPriority="4294967295" w:semiHidden="0" w:name="Title"/>
    <w:lsdException w:unhideWhenUsed="0" w:uiPriority="4294967295" w:semiHidden="0" w:name="Closing"/>
    <w:lsdException w:unhideWhenUsed="0" w:uiPriority="4294967295" w:semiHidden="0" w:name="Signature"/>
    <w:lsdException w:unhideWhenUsed="0" w:uiPriority="4294967295" w:semiHidden="0" w:name="Default Paragraph Font"/>
    <w:lsdException w:qFormat="1" w:unhideWhenUsed="0" w:uiPriority="0" w:semiHidden="0" w:name="Body Text"/>
    <w:lsdException w:unhideWhenUsed="0" w:uiPriority="4294967295" w:semiHidden="0" w:name="Body Text Indent"/>
    <w:lsdException w:unhideWhenUsed="0" w:uiPriority="4294967295" w:semiHidden="0" w:name="List Continue"/>
    <w:lsdException w:unhideWhenUsed="0" w:uiPriority="4294967295" w:semiHidden="0" w:name="List Continue 2"/>
    <w:lsdException w:unhideWhenUsed="0" w:uiPriority="4294967295" w:semiHidden="0" w:name="List Continue 3"/>
    <w:lsdException w:unhideWhenUsed="0" w:uiPriority="4294967295" w:semiHidden="0" w:name="List Continue 4"/>
    <w:lsdException w:unhideWhenUsed="0" w:uiPriority="4294967295" w:semiHidden="0" w:name="List Continue 5"/>
    <w:lsdException w:unhideWhenUsed="0" w:uiPriority="4294967295" w:semiHidden="0" w:name="Message Header"/>
    <w:lsdException w:unhideWhenUsed="0" w:uiPriority="4294967295" w:semiHidden="0" w:name="Subtitle"/>
    <w:lsdException w:unhideWhenUsed="0" w:uiPriority="4294967295" w:semiHidden="0" w:name="Salutation"/>
    <w:lsdException w:unhideWhenUsed="0" w:uiPriority="4294967295" w:semiHidden="0" w:name="Date"/>
    <w:lsdException w:unhideWhenUsed="0" w:uiPriority="4294967295" w:semiHidden="0" w:name="Body Text First Indent"/>
    <w:lsdException w:unhideWhenUsed="0" w:uiPriority="4294967295" w:semiHidden="0" w:name="Body Text First Indent 2"/>
    <w:lsdException w:unhideWhenUsed="0" w:uiPriority="4294967295" w:semiHidden="0" w:name="Note Heading"/>
    <w:lsdException w:unhideWhenUsed="0" w:uiPriority="4294967295" w:semiHidden="0" w:name="Body Text 2"/>
    <w:lsdException w:unhideWhenUsed="0" w:uiPriority="4294967295" w:semiHidden="0" w:name="Body Text 3"/>
    <w:lsdException w:unhideWhenUsed="0" w:uiPriority="4294967295" w:semiHidden="0" w:name="Body Text Indent 2"/>
    <w:lsdException w:unhideWhenUsed="0" w:uiPriority="4294967295" w:semiHidden="0" w:name="Body Text Indent 3"/>
    <w:lsdException w:unhideWhenUsed="0" w:uiPriority="4294967295" w:semiHidden="0" w:name="Block Text"/>
    <w:lsdException w:unhideWhenUsed="0" w:uiPriority="4294967295" w:semiHidden="0" w:name="Hyperlink"/>
    <w:lsdException w:unhideWhenUsed="0" w:uiPriority="4294967295" w:semiHidden="0" w:name="FollowedHyperlink"/>
    <w:lsdException w:unhideWhenUsed="0" w:uiPriority="4294967295" w:semiHidden="0" w:name="Strong"/>
    <w:lsdException w:unhideWhenUsed="0" w:uiPriority="4294967295" w:semiHidden="0" w:name="Emphasis"/>
    <w:lsdException w:unhideWhenUsed="0" w:uiPriority="4294967295" w:semiHidden="0" w:name="Document Map"/>
    <w:lsdException w:unhideWhenUsed="0" w:uiPriority="4294967295" w:semiHidden="0" w:name="Plain Text"/>
    <w:lsdException w:unhideWhenUsed="0" w:uiPriority="4294967295" w:semiHidden="0" w:name="E-mail Signature"/>
    <w:lsdException w:unhideWhenUsed="0" w:uiPriority="4294967295" w:semiHidden="0" w:name="Normal (Web)"/>
    <w:lsdException w:unhideWhenUsed="0" w:uiPriority="4294967295" w:semiHidden="0" w:name="HTML Acronym"/>
    <w:lsdException w:unhideWhenUsed="0" w:uiPriority="4294967295" w:semiHidden="0" w:name="HTML Address"/>
    <w:lsdException w:unhideWhenUsed="0" w:uiPriority="4294967295" w:semiHidden="0" w:name="HTML Cite"/>
    <w:lsdException w:unhideWhenUsed="0" w:uiPriority="4294967295" w:semiHidden="0" w:name="HTML Code"/>
    <w:lsdException w:unhideWhenUsed="0" w:uiPriority="4294967295" w:semiHidden="0" w:name="HTML Definition"/>
    <w:lsdException w:unhideWhenUsed="0" w:uiPriority="4294967295" w:semiHidden="0" w:name="HTML Keyboard"/>
    <w:lsdException w:unhideWhenUsed="0" w:uiPriority="4294967295" w:semiHidden="0" w:name="HTML Preformatted"/>
    <w:lsdException w:unhideWhenUsed="0" w:uiPriority="4294967295" w:semiHidden="0" w:name="HTML Sample"/>
    <w:lsdException w:unhideWhenUsed="0" w:uiPriority="4294967295" w:semiHidden="0" w:name="HTML Typewriter"/>
    <w:lsdException w:unhideWhenUsed="0" w:uiPriority="4294967295" w:semiHidden="0" w:name="HTML Variable"/>
    <w:lsdException w:unhideWhenUsed="0" w:uiPriority="4294967295" w:semiHidden="0" w:name="Normal Table"/>
    <w:lsdException w:unhideWhenUsed="0" w:uiPriority="4294967295" w:semiHidden="0" w:name="annotation subject"/>
    <w:lsdException w:unhideWhenUsed="0" w:uiPriority="4294967295" w:semiHidden="0" w:name="Table Simple 1"/>
    <w:lsdException w:unhideWhenUsed="0" w:uiPriority="4294967295" w:semiHidden="0" w:name="Table Simple 2"/>
    <w:lsdException w:unhideWhenUsed="0" w:uiPriority="4294967295" w:semiHidden="0" w:name="Table Simple 3"/>
    <w:lsdException w:unhideWhenUsed="0" w:uiPriority="4294967295" w:semiHidden="0" w:name="Table Classic 1"/>
    <w:lsdException w:unhideWhenUsed="0" w:uiPriority="4294967295" w:semiHidden="0" w:name="Table Classic 2"/>
    <w:lsdException w:unhideWhenUsed="0" w:uiPriority="4294967295" w:semiHidden="0" w:name="Table Classic 3"/>
    <w:lsdException w:unhideWhenUsed="0" w:uiPriority="4294967295" w:semiHidden="0" w:name="Table Classic 4"/>
    <w:lsdException w:unhideWhenUsed="0" w:uiPriority="4294967295" w:semiHidden="0" w:name="Table Colorful 1"/>
    <w:lsdException w:unhideWhenUsed="0" w:uiPriority="4294967295" w:semiHidden="0" w:name="Table Colorful 2"/>
    <w:lsdException w:unhideWhenUsed="0" w:uiPriority="4294967295" w:semiHidden="0" w:name="Table Colorful 3"/>
    <w:lsdException w:unhideWhenUsed="0" w:uiPriority="4294967295" w:semiHidden="0" w:name="Table Columns 1"/>
    <w:lsdException w:unhideWhenUsed="0" w:uiPriority="4294967295" w:semiHidden="0" w:name="Table Columns 2"/>
    <w:lsdException w:unhideWhenUsed="0" w:uiPriority="4294967295" w:semiHidden="0" w:name="Table Columns 3"/>
    <w:lsdException w:unhideWhenUsed="0" w:uiPriority="4294967295" w:semiHidden="0" w:name="Table Columns 4"/>
    <w:lsdException w:unhideWhenUsed="0" w:uiPriority="4294967295" w:semiHidden="0" w:name="Table Columns 5"/>
    <w:lsdException w:unhideWhenUsed="0" w:uiPriority="4294967295" w:semiHidden="0" w:name="Table Grid 1"/>
    <w:lsdException w:unhideWhenUsed="0" w:uiPriority="4294967295" w:semiHidden="0" w:name="Table Grid 2"/>
    <w:lsdException w:unhideWhenUsed="0" w:uiPriority="4294967295" w:semiHidden="0" w:name="Table Grid 3"/>
    <w:lsdException w:unhideWhenUsed="0" w:uiPriority="4294967295" w:semiHidden="0" w:name="Table Grid 4"/>
    <w:lsdException w:unhideWhenUsed="0" w:uiPriority="4294967295" w:semiHidden="0" w:name="Table Grid 5"/>
    <w:lsdException w:unhideWhenUsed="0" w:uiPriority="4294967295" w:semiHidden="0" w:name="Table Grid 6"/>
    <w:lsdException w:unhideWhenUsed="0" w:uiPriority="4294967295" w:semiHidden="0" w:name="Table Grid 7"/>
    <w:lsdException w:unhideWhenUsed="0" w:uiPriority="4294967295" w:semiHidden="0" w:name="Table Grid 8"/>
    <w:lsdException w:unhideWhenUsed="0" w:uiPriority="4294967295" w:semiHidden="0" w:name="Table List 1"/>
    <w:lsdException w:unhideWhenUsed="0" w:uiPriority="4294967295" w:semiHidden="0" w:name="Table List 2"/>
    <w:lsdException w:unhideWhenUsed="0" w:uiPriority="4294967295" w:semiHidden="0" w:name="Table List 3"/>
    <w:lsdException w:unhideWhenUsed="0" w:uiPriority="4294967295" w:semiHidden="0" w:name="Table List 4"/>
    <w:lsdException w:unhideWhenUsed="0" w:uiPriority="4294967295" w:semiHidden="0" w:name="Table List 5"/>
    <w:lsdException w:unhideWhenUsed="0" w:uiPriority="4294967295" w:semiHidden="0" w:name="Table List 6"/>
    <w:lsdException w:unhideWhenUsed="0" w:uiPriority="4294967295" w:semiHidden="0" w:name="Table List 7"/>
    <w:lsdException w:unhideWhenUsed="0" w:uiPriority="4294967295" w:semiHidden="0" w:name="Table List 8"/>
    <w:lsdException w:unhideWhenUsed="0" w:uiPriority="4294967295" w:semiHidden="0" w:name="Table 3D effects 1"/>
    <w:lsdException w:unhideWhenUsed="0" w:uiPriority="4294967295" w:semiHidden="0" w:name="Table 3D effects 2"/>
    <w:lsdException w:unhideWhenUsed="0" w:uiPriority="4294967295" w:semiHidden="0" w:name="Table 3D effects 3"/>
    <w:lsdException w:unhideWhenUsed="0" w:uiPriority="4294967295" w:semiHidden="0" w:name="Table Contemporary"/>
    <w:lsdException w:unhideWhenUsed="0" w:uiPriority="4294967295" w:semiHidden="0" w:name="Table Elegant"/>
    <w:lsdException w:unhideWhenUsed="0" w:uiPriority="4294967295" w:semiHidden="0" w:name="Table Professional"/>
    <w:lsdException w:unhideWhenUsed="0" w:uiPriority="4294967295" w:semiHidden="0" w:name="Table Subtle 1"/>
    <w:lsdException w:unhideWhenUsed="0" w:uiPriority="4294967295" w:semiHidden="0" w:name="Table Subtle 2"/>
    <w:lsdException w:unhideWhenUsed="0" w:uiPriority="4294967295" w:semiHidden="0" w:name="Table Web 1"/>
    <w:lsdException w:unhideWhenUsed="0" w:uiPriority="4294967295" w:semiHidden="0" w:name="Table Web 2"/>
    <w:lsdException w:unhideWhenUsed="0" w:uiPriority="4294967295" w:semiHidden="0" w:name="Table Web 3"/>
    <w:lsdException w:unhideWhenUsed="0" w:uiPriority="4294967295" w:semiHidden="0" w:name="Balloon Text"/>
    <w:lsdException w:unhideWhenUsed="0" w:uiPriority="4294967295" w:semiHidden="0" w:name="Table Grid"/>
    <w:lsdException w:unhideWhenUsed="0" w:uiPriority="4294967295"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line="400" w:lineRule="exact"/>
      <w:ind w:firstLine="643"/>
      <w:jc w:val="both"/>
    </w:pPr>
    <w:rPr>
      <w:rFonts w:ascii="Times New Roman" w:hAnsi="Times New Roman" w:eastAsia="Times New Roman"/>
      <w:sz w:val="24"/>
    </w:rPr>
  </w:style>
  <w:style w:type="paragraph" w:styleId="2">
    <w:name w:val="heading 3"/>
    <w:basedOn w:val="1"/>
    <w:next w:val="1"/>
    <w:uiPriority w:val="4294967295"/>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uiPriority w:val="4294967295"/>
  </w:style>
  <w:style w:type="table" w:default="1" w:styleId="5">
    <w:name w:val="Normal Table"/>
    <w:uiPriority w:val="4294967295"/>
    <w:tblPr>
      <w:tblCellMar>
        <w:top w:w="0" w:type="dxa"/>
        <w:left w:w="108" w:type="dxa"/>
        <w:bottom w:w="0" w:type="dxa"/>
        <w:right w:w="108" w:type="dxa"/>
      </w:tblCellMar>
    </w:tblPr>
  </w:style>
  <w:style w:type="paragraph" w:styleId="3">
    <w:name w:val="Body Text"/>
    <w:basedOn w:val="1"/>
    <w:qFormat/>
    <w:uiPriority w:val="0"/>
    <w:pPr>
      <w:spacing w:line="240" w:lineRule="auto"/>
      <w:ind w:firstLine="0"/>
      <w:jc w:val="left"/>
    </w:pPr>
    <w:rPr>
      <w:rFonts w:ascii="微软雅黑" w:hAnsi="微软雅黑" w:eastAsia="微软雅黑"/>
      <w:color w:val="000000"/>
      <w:sz w:val="29"/>
    </w:rPr>
  </w:style>
  <w:style w:type="paragraph" w:styleId="4">
    <w:name w:val="Normal (Web)"/>
    <w:basedOn w:val="1"/>
    <w:uiPriority w:val="4294967295"/>
    <w:pPr>
      <w:spacing w:before="0" w:beforeAutospacing="1" w:after="0" w:afterAutospacing="1"/>
      <w:ind w:left="0" w:right="0"/>
      <w:jc w:val="left"/>
    </w:pPr>
    <w:rPr>
      <w:kern w:val="0"/>
      <w:sz w:val="24"/>
      <w:lang w:val="en-US" w:eastAsia="zh-CN" w:bidi="ar"/>
    </w:rPr>
  </w:style>
  <w:style w:type="character" w:styleId="7">
    <w:name w:val="Strong"/>
    <w:basedOn w:val="6"/>
    <w:uiPriority w:val="4294967295"/>
    <w:rPr>
      <w:b/>
    </w:rPr>
  </w:style>
  <w:style w:type="paragraph" w:customStyle="1" w:styleId="8">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宋体" w:hAnsi="宋体" w:eastAsia="宋体"/>
      <w:color w:val="auto"/>
      <w:sz w:val="24"/>
      <w:shd w:val="clear" w:fill="auto"/>
    </w:rPr>
  </w:style>
  <w:style w:type="paragraph" w:customStyle="1" w:styleId="9">
    <w:name w:val="fulltext_text"/>
    <w:basedOn w:val="1"/>
    <w:qFormat/>
    <w:uiPriority w:val="0"/>
    <w:pPr>
      <w:spacing w:line="525" w:lineRule="atLeast"/>
      <w:ind w:firstLine="0"/>
      <w:jc w:val="left"/>
    </w:pPr>
    <w:rPr>
      <w:rFonts w:ascii="宋体" w:hAnsi="宋体" w:eastAsia="宋体"/>
    </w:rPr>
  </w:style>
  <w:style w:type="paragraph" w:customStyle="1" w:styleId="10">
    <w:name w:val="Table Text"/>
    <w:basedOn w:val="1"/>
    <w:qFormat/>
    <w:uiPriority w:val="0"/>
    <w:pPr>
      <w:spacing w:line="240" w:lineRule="auto"/>
      <w:ind w:firstLine="0"/>
      <w:jc w:val="left"/>
    </w:pPr>
    <w:rPr>
      <w:rFonts w:ascii="微软雅黑" w:hAnsi="微软雅黑" w:eastAsia="微软雅黑"/>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4807</Words>
  <Characters>5064</Characters>
  <TotalTime>1</TotalTime>
  <ScaleCrop>false</ScaleCrop>
  <LinksUpToDate>false</LinksUpToDate>
  <CharactersWithSpaces>5493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2026-03-24T08:40:57Z</dcterms:created>
  <dc:creator>shiyi</dc:creator>
  <cp:lastModifiedBy>CI</cp:lastModifiedBy>
  <dcterms:modified xsi:type="dcterms:W3CDTF">2026-03-24T08:42:24Z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eyJoZGlkIjoiOTM3YTZhMmQ5YjRkYWU4ZjU1Y2RhODcyN2E4MDQ1YWIiLCJ1c2VySWQiOiI0MzUzNTQ5NTIifQ==</vt:lpwstr>
  </property>
  <property fmtid="{D5CDD505-2E9C-101B-9397-08002B2CF9AE}" pid="3" name="KSOProductBuildVer">
    <vt:lpwstr>2052-12.1.0.25225</vt:lpwstr>
  </property>
  <property fmtid="{D5CDD505-2E9C-101B-9397-08002B2CF9AE}" pid="4" name="ICV">
    <vt:lpwstr>B50505245CB04CEDA9CD333F9B5FE425_13</vt:lpwstr>
  </property>
</Properties>
</file>